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03" w:rsidRPr="00CE6EAE" w:rsidRDefault="00457703" w:rsidP="00457703">
      <w:pPr>
        <w:jc w:val="right"/>
        <w:rPr>
          <w:b/>
        </w:rPr>
      </w:pPr>
      <w:r w:rsidRPr="00CE6EAE">
        <w:rPr>
          <w:b/>
        </w:rPr>
        <w:t>Appendix 1</w:t>
      </w:r>
    </w:p>
    <w:p w:rsidR="00457703" w:rsidRDefault="00457703" w:rsidP="00457703"/>
    <w:p w:rsidR="002236EE" w:rsidRDefault="002236EE" w:rsidP="00457703"/>
    <w:p w:rsidR="00457703" w:rsidRPr="001F20F7" w:rsidRDefault="00457703" w:rsidP="00457703">
      <w:pPr>
        <w:jc w:val="center"/>
        <w:rPr>
          <w:b/>
        </w:rPr>
      </w:pPr>
      <w:r w:rsidRPr="001F20F7">
        <w:rPr>
          <w:b/>
        </w:rPr>
        <w:t>ADDITIONAL RESPONSIBILITIES</w:t>
      </w:r>
    </w:p>
    <w:p w:rsidR="00457703" w:rsidRDefault="00457703" w:rsidP="00457703"/>
    <w:p w:rsidR="002236EE" w:rsidRDefault="002236EE" w:rsidP="00457703"/>
    <w:p w:rsidR="00457703" w:rsidRDefault="00457703" w:rsidP="002236EE">
      <w:pPr>
        <w:pStyle w:val="Heading3"/>
        <w:numPr>
          <w:ilvl w:val="0"/>
          <w:numId w:val="4"/>
        </w:numPr>
        <w:ind w:left="720" w:hanging="720"/>
        <w:jc w:val="left"/>
        <w:rPr>
          <w:b w:val="0"/>
          <w:i w:val="0"/>
        </w:rPr>
      </w:pPr>
      <w:r w:rsidRPr="00CE6EAE">
        <w:rPr>
          <w:i w:val="0"/>
        </w:rPr>
        <w:t>The additional responsibilities for the Director of Finance include</w:t>
      </w:r>
      <w:r>
        <w:rPr>
          <w:b w:val="0"/>
          <w:i w:val="0"/>
        </w:rPr>
        <w:t>:</w:t>
      </w:r>
    </w:p>
    <w:p w:rsidR="00457703" w:rsidRPr="00CE6EAE" w:rsidRDefault="00457703" w:rsidP="00457703"/>
    <w:p w:rsidR="00457703" w:rsidRDefault="00457703" w:rsidP="002236EE">
      <w:pPr>
        <w:pStyle w:val="ListParagraph"/>
        <w:numPr>
          <w:ilvl w:val="0"/>
          <w:numId w:val="5"/>
        </w:numPr>
      </w:pPr>
      <w:r>
        <w:t>Internal Audit &amp; Corporate Anti-Fraud</w:t>
      </w: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Procurement</w:t>
      </w: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Interface to Council Trading Arrangements</w:t>
      </w:r>
    </w:p>
    <w:p w:rsidR="00457703" w:rsidRDefault="00457703" w:rsidP="002236EE">
      <w:pPr>
        <w:pStyle w:val="ListParagraph"/>
        <w:numPr>
          <w:ilvl w:val="0"/>
          <w:numId w:val="5"/>
        </w:numPr>
        <w:jc w:val="both"/>
      </w:pPr>
      <w:r>
        <w:t>Coordination of Portfolio Holder Arrangements with Portfolio Holder for</w:t>
      </w:r>
      <w:r w:rsidR="002236EE">
        <w:t xml:space="preserve"> </w:t>
      </w:r>
      <w:r>
        <w:t>Finance and Commercialisation</w:t>
      </w: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Chairing of Resources and Commercial Directorate Management Team</w:t>
      </w:r>
    </w:p>
    <w:p w:rsidR="00457703" w:rsidRDefault="00457703" w:rsidP="002236EE">
      <w:pPr>
        <w:pStyle w:val="ListParagraph"/>
        <w:numPr>
          <w:ilvl w:val="0"/>
          <w:numId w:val="5"/>
        </w:numPr>
        <w:jc w:val="both"/>
      </w:pPr>
      <w:r>
        <w:t>Chairing of Commissioning and Commercial Board and sign off of Procurement Gateways</w:t>
      </w:r>
    </w:p>
    <w:p w:rsidR="00457703" w:rsidRDefault="00457703" w:rsidP="00457703"/>
    <w:p w:rsidR="00457703" w:rsidRPr="001814DA" w:rsidRDefault="00457703" w:rsidP="002236EE">
      <w:pPr>
        <w:ind w:left="720"/>
        <w:jc w:val="both"/>
      </w:pPr>
      <w:r>
        <w:t xml:space="preserve">These additional responsibilities will be recognised through </w:t>
      </w:r>
      <w:proofErr w:type="gramStart"/>
      <w:r>
        <w:t>an acting</w:t>
      </w:r>
      <w:proofErr w:type="gramEnd"/>
      <w:r>
        <w:t xml:space="preserve"> up allowance equivalent to £7,000 per year.</w:t>
      </w:r>
    </w:p>
    <w:p w:rsidR="00457703" w:rsidRDefault="00457703" w:rsidP="00457703"/>
    <w:p w:rsidR="00457703" w:rsidRPr="00CE6EAE" w:rsidRDefault="00457703" w:rsidP="002236EE">
      <w:pPr>
        <w:numPr>
          <w:ilvl w:val="0"/>
          <w:numId w:val="4"/>
        </w:numPr>
        <w:ind w:left="720" w:hanging="720"/>
        <w:jc w:val="both"/>
        <w:rPr>
          <w:b/>
        </w:rPr>
      </w:pPr>
      <w:r w:rsidRPr="00CE6EAE">
        <w:rPr>
          <w:b/>
        </w:rPr>
        <w:t>The additional responsibilities for the Divisional Director Strategic Commissioning include:</w:t>
      </w:r>
    </w:p>
    <w:p w:rsidR="00457703" w:rsidRDefault="00457703" w:rsidP="00457703">
      <w:pPr>
        <w:ind w:left="360"/>
      </w:pP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Human Resources &amp; Payroll</w:t>
      </w: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Shared Service Governance with Buckinghamshire County Council</w:t>
      </w:r>
    </w:p>
    <w:p w:rsidR="00457703" w:rsidRDefault="00457703" w:rsidP="002236EE">
      <w:pPr>
        <w:pStyle w:val="ListParagraph"/>
        <w:numPr>
          <w:ilvl w:val="0"/>
          <w:numId w:val="5"/>
        </w:numPr>
        <w:jc w:val="both"/>
      </w:pPr>
      <w:r>
        <w:t>Coordination of Portfolio Holder Arrangements with Portfolio Holder for Performance, Corporate Resources &amp; Customer Services</w:t>
      </w:r>
    </w:p>
    <w:p w:rsidR="00457703" w:rsidRDefault="00457703" w:rsidP="002236EE">
      <w:pPr>
        <w:pStyle w:val="ListParagraph"/>
        <w:numPr>
          <w:ilvl w:val="0"/>
          <w:numId w:val="5"/>
        </w:numPr>
        <w:jc w:val="both"/>
      </w:pPr>
      <w:r>
        <w:t>Preparation for and coordination of Resources &amp; Commercial Improvement Boards</w:t>
      </w: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Coordination of Directorate Joint Committee</w:t>
      </w:r>
    </w:p>
    <w:p w:rsidR="00457703" w:rsidRDefault="00457703" w:rsidP="002236EE">
      <w:pPr>
        <w:pStyle w:val="ListParagraph"/>
        <w:numPr>
          <w:ilvl w:val="0"/>
          <w:numId w:val="5"/>
        </w:numPr>
        <w:jc w:val="both"/>
      </w:pPr>
      <w:r>
        <w:t>Coordination of Resources &amp; Commercial briefing to Scrutiny Lead Councillors</w:t>
      </w:r>
    </w:p>
    <w:p w:rsidR="00457703" w:rsidRDefault="00457703" w:rsidP="00457703"/>
    <w:p w:rsidR="00457703" w:rsidRPr="001814DA" w:rsidRDefault="00457703" w:rsidP="002236EE">
      <w:pPr>
        <w:ind w:left="720"/>
        <w:jc w:val="both"/>
      </w:pPr>
      <w:r>
        <w:t xml:space="preserve">These additional responsibilities will be recognised through </w:t>
      </w:r>
      <w:proofErr w:type="gramStart"/>
      <w:r>
        <w:t>an acting</w:t>
      </w:r>
      <w:proofErr w:type="gramEnd"/>
      <w:r>
        <w:t xml:space="preserve"> up allowance equivalent to £7,000 per year.</w:t>
      </w:r>
    </w:p>
    <w:p w:rsidR="00457703" w:rsidRDefault="00457703" w:rsidP="00457703">
      <w:pPr>
        <w:pStyle w:val="Heading3"/>
        <w:ind w:left="0" w:firstLine="0"/>
        <w:jc w:val="left"/>
        <w:rPr>
          <w:b w:val="0"/>
          <w:i w:val="0"/>
        </w:rPr>
      </w:pPr>
    </w:p>
    <w:p w:rsidR="00457703" w:rsidRDefault="00457703" w:rsidP="002236EE">
      <w:pPr>
        <w:pStyle w:val="Heading3"/>
        <w:numPr>
          <w:ilvl w:val="0"/>
          <w:numId w:val="4"/>
        </w:numPr>
        <w:ind w:left="720" w:hanging="720"/>
        <w:rPr>
          <w:b w:val="0"/>
          <w:i w:val="0"/>
        </w:rPr>
      </w:pPr>
      <w:r w:rsidRPr="00CE6EAE">
        <w:rPr>
          <w:i w:val="0"/>
        </w:rPr>
        <w:t xml:space="preserve">The additional responsibilities for the Divisional Director </w:t>
      </w:r>
      <w:r w:rsidR="002236EE">
        <w:rPr>
          <w:i w:val="0"/>
        </w:rPr>
        <w:t>C</w:t>
      </w:r>
      <w:r w:rsidRPr="00CE6EAE">
        <w:rPr>
          <w:i w:val="0"/>
        </w:rPr>
        <w:t>ommissioning &amp; Commercial Services include</w:t>
      </w:r>
      <w:r>
        <w:rPr>
          <w:b w:val="0"/>
          <w:i w:val="0"/>
        </w:rPr>
        <w:t>:</w:t>
      </w:r>
    </w:p>
    <w:p w:rsidR="00457703" w:rsidRPr="00CE6EAE" w:rsidRDefault="00457703" w:rsidP="00457703"/>
    <w:p w:rsidR="00457703" w:rsidRDefault="00457703" w:rsidP="002236EE">
      <w:pPr>
        <w:pStyle w:val="ListParagraph"/>
        <w:numPr>
          <w:ilvl w:val="0"/>
          <w:numId w:val="5"/>
        </w:numPr>
      </w:pPr>
      <w:r>
        <w:t>Commercialisation Strategy and Commercial Expansion</w:t>
      </w:r>
    </w:p>
    <w:p w:rsidR="00457703" w:rsidRDefault="00457703" w:rsidP="002236EE">
      <w:pPr>
        <w:pStyle w:val="ListParagraph"/>
        <w:numPr>
          <w:ilvl w:val="0"/>
          <w:numId w:val="5"/>
        </w:numPr>
      </w:pPr>
      <w:r>
        <w:t>Commercial Reporting</w:t>
      </w:r>
    </w:p>
    <w:p w:rsidR="00457703" w:rsidRDefault="00457703" w:rsidP="002236EE">
      <w:pPr>
        <w:pStyle w:val="ListParagraph"/>
        <w:numPr>
          <w:ilvl w:val="0"/>
          <w:numId w:val="5"/>
        </w:numPr>
        <w:jc w:val="both"/>
      </w:pPr>
      <w:r>
        <w:t>Coordination of Portfolio Holder arrangements with Portfolio Holder for Finance &amp; Commercialisation regarding commercialisation.</w:t>
      </w:r>
    </w:p>
    <w:p w:rsidR="00457703" w:rsidRDefault="00457703" w:rsidP="00457703"/>
    <w:p w:rsidR="00457703" w:rsidRDefault="00457703" w:rsidP="002236EE">
      <w:pPr>
        <w:ind w:left="720"/>
        <w:jc w:val="both"/>
      </w:pPr>
      <w:r>
        <w:t xml:space="preserve">These additional responsibilities will be recognised through </w:t>
      </w:r>
      <w:proofErr w:type="gramStart"/>
      <w:r>
        <w:t>an acting</w:t>
      </w:r>
      <w:proofErr w:type="gramEnd"/>
      <w:r>
        <w:t xml:space="preserve"> up allow</w:t>
      </w:r>
      <w:bookmarkStart w:id="0" w:name="_GoBack"/>
      <w:bookmarkEnd w:id="0"/>
      <w:r>
        <w:t>ance equivalent to £3,500 per year.</w:t>
      </w:r>
    </w:p>
    <w:p w:rsidR="00457703" w:rsidRDefault="00457703" w:rsidP="00457703">
      <w:pPr>
        <w:pStyle w:val="Infotext"/>
      </w:pPr>
    </w:p>
    <w:sectPr w:rsidR="00457703" w:rsidSect="002236EE">
      <w:footerReference w:type="first" r:id="rId8"/>
      <w:pgSz w:w="11909" w:h="16834" w:code="9"/>
      <w:pgMar w:top="1440" w:right="1152" w:bottom="1440" w:left="1440" w:header="1008" w:footer="432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EE" w:rsidRDefault="002236EE" w:rsidP="002236EE">
      <w:r>
        <w:separator/>
      </w:r>
    </w:p>
  </w:endnote>
  <w:endnote w:type="continuationSeparator" w:id="0">
    <w:p w:rsidR="002236EE" w:rsidRDefault="002236EE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EE" w:rsidRDefault="002236EE" w:rsidP="002236EE">
    <w:pPr>
      <w:tabs>
        <w:tab w:val="left" w:pos="-720"/>
        <w:tab w:val="right" w:pos="9000"/>
      </w:tabs>
      <w:ind w:left="1440" w:hanging="720"/>
      <w:jc w:val="both"/>
    </w:pPr>
    <w:r w:rsidRPr="002236EE">
      <w:rPr>
        <w:sz w:val="20"/>
      </w:rPr>
      <w:t xml:space="preserve">- </w:t>
    </w:r>
    <w:r w:rsidRPr="002236EE">
      <w:rPr>
        <w:sz w:val="20"/>
      </w:rPr>
      <w:fldChar w:fldCharType="begin"/>
    </w:r>
    <w:r w:rsidRPr="002236EE">
      <w:rPr>
        <w:sz w:val="20"/>
      </w:rPr>
      <w:instrText xml:space="preserve"> PAGE </w:instrText>
    </w:r>
    <w:r w:rsidRPr="002236EE">
      <w:rPr>
        <w:sz w:val="20"/>
      </w:rPr>
      <w:fldChar w:fldCharType="separate"/>
    </w:r>
    <w:r>
      <w:rPr>
        <w:noProof/>
        <w:sz w:val="20"/>
      </w:rPr>
      <w:t>4</w:t>
    </w:r>
    <w:r w:rsidRPr="002236EE">
      <w:rPr>
        <w:sz w:val="20"/>
      </w:rPr>
      <w:fldChar w:fldCharType="end"/>
    </w:r>
    <w:r w:rsidRPr="002236EE">
      <w:rPr>
        <w:sz w:val="20"/>
      </w:rPr>
      <w:t xml:space="preserve"> -</w:t>
    </w:r>
    <w:r w:rsidRPr="002236EE">
      <w:rPr>
        <w:sz w:val="20"/>
      </w:rPr>
      <w:tab/>
    </w:r>
    <w:r w:rsidRPr="002236EE">
      <w:rPr>
        <w:sz w:val="20"/>
      </w:rPr>
      <w:tab/>
    </w:r>
    <w:r w:rsidRPr="002236EE">
      <w:rPr>
        <w:sz w:val="16"/>
        <w:szCs w:val="16"/>
      </w:rPr>
      <w:t>Chief Officers' Employment Panel - 28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EE" w:rsidRDefault="002236EE" w:rsidP="002236EE">
      <w:r>
        <w:separator/>
      </w:r>
    </w:p>
  </w:footnote>
  <w:footnote w:type="continuationSeparator" w:id="0">
    <w:p w:rsidR="002236EE" w:rsidRDefault="002236EE" w:rsidP="0022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9E0"/>
    <w:multiLevelType w:val="hybridMultilevel"/>
    <w:tmpl w:val="D010835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5B0C76"/>
    <w:multiLevelType w:val="hybridMultilevel"/>
    <w:tmpl w:val="F6D8514E"/>
    <w:lvl w:ilvl="0" w:tplc="7F1AAE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44C"/>
    <w:multiLevelType w:val="hybridMultilevel"/>
    <w:tmpl w:val="F042BC8C"/>
    <w:lvl w:ilvl="0" w:tplc="9252B72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59E2"/>
    <w:multiLevelType w:val="hybridMultilevel"/>
    <w:tmpl w:val="DA92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78D1"/>
    <w:multiLevelType w:val="hybridMultilevel"/>
    <w:tmpl w:val="88DE1100"/>
    <w:lvl w:ilvl="0" w:tplc="8E9468D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3"/>
    <w:rsid w:val="002003A8"/>
    <w:rsid w:val="002236EE"/>
    <w:rsid w:val="00457703"/>
    <w:rsid w:val="007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03"/>
    <w:rPr>
      <w:rFonts w:ascii="Arial" w:eastAsia="Times New Roman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57703"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7703"/>
    <w:rPr>
      <w:rFonts w:ascii="Arial" w:eastAsia="Times New Roman" w:hAnsi="Arial" w:cs="Arial"/>
      <w:b/>
      <w:bCs/>
      <w:i/>
      <w:sz w:val="24"/>
      <w:szCs w:val="28"/>
      <w:lang w:eastAsia="en-US"/>
    </w:rPr>
  </w:style>
  <w:style w:type="paragraph" w:customStyle="1" w:styleId="Infotext">
    <w:name w:val="Info text"/>
    <w:basedOn w:val="Normal"/>
    <w:rsid w:val="00457703"/>
    <w:rPr>
      <w:sz w:val="28"/>
    </w:rPr>
  </w:style>
  <w:style w:type="paragraph" w:styleId="ListParagraph">
    <w:name w:val="List Paragraph"/>
    <w:basedOn w:val="Normal"/>
    <w:uiPriority w:val="34"/>
    <w:qFormat/>
    <w:rsid w:val="0022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EE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EE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uiPriority w:val="99"/>
    <w:rsid w:val="00223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03"/>
    <w:rPr>
      <w:rFonts w:ascii="Arial" w:eastAsia="Times New Roman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57703"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7703"/>
    <w:rPr>
      <w:rFonts w:ascii="Arial" w:eastAsia="Times New Roman" w:hAnsi="Arial" w:cs="Arial"/>
      <w:b/>
      <w:bCs/>
      <w:i/>
      <w:sz w:val="24"/>
      <w:szCs w:val="28"/>
      <w:lang w:eastAsia="en-US"/>
    </w:rPr>
  </w:style>
  <w:style w:type="paragraph" w:customStyle="1" w:styleId="Infotext">
    <w:name w:val="Info text"/>
    <w:basedOn w:val="Normal"/>
    <w:rsid w:val="00457703"/>
    <w:rPr>
      <w:sz w:val="28"/>
    </w:rPr>
  </w:style>
  <w:style w:type="paragraph" w:styleId="ListParagraph">
    <w:name w:val="List Paragraph"/>
    <w:basedOn w:val="Normal"/>
    <w:uiPriority w:val="34"/>
    <w:qFormat/>
    <w:rsid w:val="0022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EE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EE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uiPriority w:val="99"/>
    <w:rsid w:val="00223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Atherton</dc:creator>
  <cp:lastModifiedBy>Donna Harris</cp:lastModifiedBy>
  <cp:revision>3</cp:revision>
  <dcterms:created xsi:type="dcterms:W3CDTF">2018-07-12T13:07:00Z</dcterms:created>
  <dcterms:modified xsi:type="dcterms:W3CDTF">2018-07-12T13:19:00Z</dcterms:modified>
</cp:coreProperties>
</file>